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Arial" w:cs="Arial" w:eastAsia="Arial" w:hAnsi="Arial"/>
          <w:color w:val="262626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The focus of this Benchmark Assignment is to consider how consumer demographics and health care marketing plays a role in consumer selection of health care resources.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Select 1 of the following in your community or surrounding 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Walk-in clinic, such as an urgent care facility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Retail clinic in your local grocery store or retail pharmacy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No-appointment physician’s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Research the market of this facility. Consider the following as you complete your research: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Demographics of the consumers who use the facility selected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The location of the facility selected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The marketing used to bring in consumers to the facility selected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Write a 700- to 1,050-word paper that analyzes the market perspective of the facility selected. Ensure you: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Describe the facility selected, including its 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Analyze the demographics of the consumers who use the facility selected.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Include the cultural and generational demographics in your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Analyze the marketing approach used for the facility.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Consider the targeted audience of the facility based on the demographics of the consumers who use the facility.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Consider whether marketing techniques can be the same when marketing to different demographics.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Cite at least 1 reputable reference.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262626"/>
          <w:sz w:val="21"/>
          <w:szCs w:val="21"/>
          <w:rtl w:val="0"/>
        </w:rPr>
        <w:t xml:space="preserve">Format your assignment according to APA guidelines.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